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547B3" w14:textId="2A28E7A2" w:rsidR="3C0B52EA" w:rsidRDefault="3C0B52EA" w:rsidP="3C0B52EA">
      <w:pPr>
        <w:jc w:val="center"/>
        <w:rPr>
          <w:rFonts w:eastAsiaTheme="minorEastAsia"/>
          <w:color w:val="212121"/>
        </w:rPr>
      </w:pPr>
      <w:r>
        <w:rPr>
          <w:noProof/>
        </w:rPr>
        <w:drawing>
          <wp:inline distT="0" distB="0" distL="0" distR="0" wp14:anchorId="0F4FD3C5" wp14:editId="60222A5B">
            <wp:extent cx="1230312" cy="858656"/>
            <wp:effectExtent l="0" t="0" r="0" b="0"/>
            <wp:docPr id="122917619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312" cy="85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78D3A" w14:textId="28D7BE9D" w:rsidR="3C0B52EA" w:rsidRDefault="3C0B52EA" w:rsidP="3C0B52EA">
      <w:pPr>
        <w:rPr>
          <w:rFonts w:eastAsiaTheme="minorEastAsia"/>
          <w:color w:val="FF0000"/>
        </w:rPr>
      </w:pPr>
      <w:r w:rsidRPr="3C0B52EA">
        <w:rPr>
          <w:rFonts w:eastAsiaTheme="minorEastAsia"/>
          <w:color w:val="FF0000"/>
        </w:rPr>
        <w:t xml:space="preserve">Stakeholder name </w:t>
      </w:r>
      <w:r>
        <w:br/>
      </w:r>
      <w:r w:rsidRPr="3C0B52EA">
        <w:rPr>
          <w:rFonts w:eastAsiaTheme="minorEastAsia"/>
          <w:color w:val="FF0000"/>
        </w:rPr>
        <w:t>Organization</w:t>
      </w:r>
      <w:r>
        <w:br/>
      </w:r>
      <w:r w:rsidRPr="3C0B52EA">
        <w:rPr>
          <w:rFonts w:eastAsiaTheme="minorEastAsia"/>
          <w:color w:val="FF0000"/>
        </w:rPr>
        <w:t>Title</w:t>
      </w:r>
    </w:p>
    <w:p w14:paraId="15D8BB84" w14:textId="4BCC7AAF" w:rsidR="3C0B52EA" w:rsidRDefault="3C0B52EA" w:rsidP="3C0B52EA">
      <w:pPr>
        <w:rPr>
          <w:rFonts w:eastAsiaTheme="minorEastAsia"/>
          <w:color w:val="212121"/>
        </w:rPr>
      </w:pPr>
      <w:r w:rsidRPr="3C0B52EA">
        <w:rPr>
          <w:rFonts w:eastAsiaTheme="minorEastAsia"/>
          <w:color w:val="212121"/>
        </w:rPr>
        <w:t>Dear</w:t>
      </w:r>
      <w:r w:rsidRPr="3C0B52EA">
        <w:rPr>
          <w:rFonts w:eastAsiaTheme="minorEastAsia"/>
          <w:color w:val="FF0000"/>
        </w:rPr>
        <w:t xml:space="preserve"> &lt;Stakeholder name&gt;</w:t>
      </w:r>
      <w:r w:rsidRPr="3C0B52EA">
        <w:rPr>
          <w:rFonts w:eastAsiaTheme="minorEastAsia"/>
        </w:rPr>
        <w:t>,</w:t>
      </w:r>
    </w:p>
    <w:p w14:paraId="25F366DB" w14:textId="2EEC8DBF" w:rsidR="3C0B52EA" w:rsidRDefault="14CB019B" w:rsidP="14CB019B">
      <w:pPr>
        <w:rPr>
          <w:rFonts w:eastAsiaTheme="minorEastAsia"/>
          <w:color w:val="FF0000"/>
        </w:rPr>
      </w:pPr>
      <w:r w:rsidRPr="00AD2EC1">
        <w:rPr>
          <w:rFonts w:eastAsiaTheme="minorEastAsia"/>
        </w:rPr>
        <w:t xml:space="preserve">I’m writing to provide this letter of support for </w:t>
      </w:r>
      <w:r w:rsidRPr="14CB019B">
        <w:rPr>
          <w:rFonts w:eastAsiaTheme="minorEastAsia"/>
          <w:color w:val="FF0000"/>
        </w:rPr>
        <w:t>&lt;PARTICIPANT NAME HERE&gt;</w:t>
      </w:r>
      <w:r w:rsidRPr="14CB019B">
        <w:rPr>
          <w:rFonts w:eastAsiaTheme="minorEastAsia"/>
          <w:color w:val="212121"/>
        </w:rPr>
        <w:t xml:space="preserve"> </w:t>
      </w:r>
      <w:r w:rsidRPr="00AD2EC1">
        <w:rPr>
          <w:rFonts w:eastAsiaTheme="minorEastAsia"/>
        </w:rPr>
        <w:t xml:space="preserve">for Central Exchange’s Emerging Leaders Program. Emerging Leaders is a program where women get to learn, connect and grow in a way that will advance their careers and </w:t>
      </w:r>
      <w:r w:rsidRPr="14CB019B">
        <w:rPr>
          <w:rFonts w:eastAsiaTheme="minorEastAsia"/>
          <w:color w:val="FF0000"/>
        </w:rPr>
        <w:t>&lt;ORGANIZATION HERE&gt;</w:t>
      </w:r>
      <w:r w:rsidRPr="14CB019B">
        <w:rPr>
          <w:rFonts w:eastAsiaTheme="minorEastAsia"/>
        </w:rPr>
        <w:t>.</w:t>
      </w:r>
    </w:p>
    <w:p w14:paraId="0B2D0D5D" w14:textId="2618A347" w:rsidR="3C0B52EA" w:rsidRDefault="3C0B52EA" w:rsidP="3C0B52EA">
      <w:pPr>
        <w:rPr>
          <w:rFonts w:eastAsiaTheme="minorEastAsia"/>
          <w:b/>
          <w:bCs/>
          <w:color w:val="212121"/>
        </w:rPr>
      </w:pPr>
      <w:r w:rsidRPr="3C0B52EA">
        <w:rPr>
          <w:rFonts w:eastAsiaTheme="minorEastAsia"/>
          <w:b/>
          <w:bCs/>
          <w:color w:val="212121"/>
        </w:rPr>
        <w:t>Some of the key metrics and celebrations from last year’s Emerging Leaders include:</w:t>
      </w:r>
    </w:p>
    <w:p w14:paraId="744D1294" w14:textId="62E50E67" w:rsidR="3C0B52EA" w:rsidRPr="00AD2EC1" w:rsidRDefault="3C0B52EA" w:rsidP="3C0B52E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AD2EC1">
        <w:rPr>
          <w:rFonts w:eastAsiaTheme="minorEastAsia"/>
          <w:b/>
          <w:bCs/>
        </w:rPr>
        <w:t>85%</w:t>
      </w:r>
      <w:r w:rsidRPr="00AD2EC1">
        <w:rPr>
          <w:rFonts w:eastAsiaTheme="minorEastAsia"/>
        </w:rPr>
        <w:t xml:space="preserve"> increased their confidence and success levels;</w:t>
      </w:r>
    </w:p>
    <w:p w14:paraId="2B65B999" w14:textId="508C5971" w:rsidR="3C0B52EA" w:rsidRPr="00AD2EC1" w:rsidRDefault="3C0B52EA" w:rsidP="3C0B52E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AD2EC1">
        <w:rPr>
          <w:rFonts w:eastAsiaTheme="minorEastAsia"/>
          <w:b/>
          <w:bCs/>
        </w:rPr>
        <w:t>35%</w:t>
      </w:r>
      <w:r w:rsidRPr="00AD2EC1">
        <w:rPr>
          <w:rFonts w:eastAsiaTheme="minorEastAsia"/>
        </w:rPr>
        <w:t xml:space="preserve"> measurably improved the effectiveness of their teams;</w:t>
      </w:r>
    </w:p>
    <w:p w14:paraId="6608691F" w14:textId="70E41E4E" w:rsidR="3C0B52EA" w:rsidRPr="00AD2EC1" w:rsidRDefault="3C0B52EA" w:rsidP="3C0B52E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AD2EC1">
        <w:rPr>
          <w:rFonts w:eastAsiaTheme="minorEastAsia"/>
          <w:b/>
          <w:bCs/>
        </w:rPr>
        <w:t xml:space="preserve">64% </w:t>
      </w:r>
      <w:r w:rsidRPr="00AD2EC1">
        <w:rPr>
          <w:rFonts w:eastAsiaTheme="minorEastAsia"/>
        </w:rPr>
        <w:t>took on new responsibilities in their roles;</w:t>
      </w:r>
    </w:p>
    <w:p w14:paraId="73B8021F" w14:textId="6DE0B795" w:rsidR="3C0B52EA" w:rsidRPr="00AD2EC1" w:rsidRDefault="3C0B52EA" w:rsidP="3C0B52E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AD2EC1">
        <w:rPr>
          <w:rFonts w:eastAsiaTheme="minorEastAsia"/>
          <w:b/>
          <w:bCs/>
        </w:rPr>
        <w:t>25%</w:t>
      </w:r>
      <w:r w:rsidRPr="00AD2EC1">
        <w:rPr>
          <w:rFonts w:eastAsiaTheme="minorEastAsia"/>
        </w:rPr>
        <w:t xml:space="preserve"> directly improved the bottom line;</w:t>
      </w:r>
    </w:p>
    <w:p w14:paraId="791414BA" w14:textId="6768E7CD" w:rsidR="3C0B52EA" w:rsidRPr="00AD2EC1" w:rsidRDefault="3C0B52EA" w:rsidP="3C0B52E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AD2EC1">
        <w:rPr>
          <w:rFonts w:eastAsiaTheme="minorEastAsia"/>
          <w:b/>
          <w:bCs/>
        </w:rPr>
        <w:t>15%</w:t>
      </w:r>
      <w:r w:rsidRPr="00AD2EC1">
        <w:rPr>
          <w:rFonts w:eastAsiaTheme="minorEastAsia"/>
        </w:rPr>
        <w:t xml:space="preserve"> formally took on a new role; and</w:t>
      </w:r>
    </w:p>
    <w:p w14:paraId="241F0485" w14:textId="372115B3" w:rsidR="3C0B52EA" w:rsidRPr="00AD2EC1" w:rsidRDefault="3C0B52EA" w:rsidP="3C0B52EA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AD2EC1">
        <w:rPr>
          <w:rFonts w:eastAsiaTheme="minorEastAsia"/>
          <w:b/>
          <w:bCs/>
        </w:rPr>
        <w:t xml:space="preserve">100% </w:t>
      </w:r>
      <w:r w:rsidRPr="00AD2EC1">
        <w:rPr>
          <w:rFonts w:eastAsiaTheme="minorEastAsia"/>
        </w:rPr>
        <w:t>built a sustainable professional and personal network.</w:t>
      </w:r>
    </w:p>
    <w:p w14:paraId="516FF8D9" w14:textId="3B42478E" w:rsidR="3C0B52EA" w:rsidRDefault="3C0B52EA" w:rsidP="3C0B52EA">
      <w:pPr>
        <w:rPr>
          <w:rFonts w:eastAsiaTheme="minorEastAsia"/>
          <w:b/>
          <w:bCs/>
          <w:color w:val="212121"/>
        </w:rPr>
      </w:pPr>
      <w:r w:rsidRPr="3C0B52EA">
        <w:rPr>
          <w:rFonts w:eastAsiaTheme="minorEastAsia"/>
          <w:b/>
          <w:bCs/>
          <w:color w:val="212121"/>
        </w:rPr>
        <w:t xml:space="preserve">  Key areas of learning for the Emerging Leaders program include:</w:t>
      </w:r>
    </w:p>
    <w:p w14:paraId="15B88F20" w14:textId="32EEBF26" w:rsidR="3C0B52EA" w:rsidRDefault="3C0B52EA" w:rsidP="3C0B52E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C0B52EA">
        <w:rPr>
          <w:rFonts w:eastAsiaTheme="minorEastAsia"/>
          <w:b/>
          <w:bCs/>
          <w:color w:val="000000" w:themeColor="text1"/>
        </w:rPr>
        <w:t>Building Your Leadership Path</w:t>
      </w:r>
      <w:r w:rsidRPr="3C0B52EA">
        <w:rPr>
          <w:rFonts w:eastAsiaTheme="minorEastAsia"/>
          <w:color w:val="000000" w:themeColor="text1"/>
        </w:rPr>
        <w:t>: Establish a clear view of your strengths and opportunities with assessments and coaching to support your development plan</w:t>
      </w:r>
    </w:p>
    <w:p w14:paraId="34E083D5" w14:textId="2EDEA28E" w:rsidR="3C0B52EA" w:rsidRDefault="3C0B52EA" w:rsidP="3C0B52E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C0B52EA">
        <w:rPr>
          <w:rFonts w:eastAsiaTheme="minorEastAsia"/>
          <w:b/>
          <w:bCs/>
          <w:color w:val="000000" w:themeColor="text1"/>
        </w:rPr>
        <w:t>Strategic Thinking and Setting the Vision:</w:t>
      </w:r>
      <w:r w:rsidRPr="3C0B52EA">
        <w:rPr>
          <w:rFonts w:eastAsiaTheme="minorEastAsia"/>
          <w:color w:val="000000" w:themeColor="text1"/>
        </w:rPr>
        <w:t xml:space="preserve"> Develop strategic perspective and the ability to envision and implement competitive advantage</w:t>
      </w:r>
    </w:p>
    <w:p w14:paraId="52E2C35C" w14:textId="47139DA0" w:rsidR="3C0B52EA" w:rsidRDefault="3C0B52EA" w:rsidP="3C0B52E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C0B52EA">
        <w:rPr>
          <w:rFonts w:eastAsiaTheme="minorEastAsia"/>
          <w:b/>
          <w:bCs/>
          <w:color w:val="000000" w:themeColor="text1"/>
        </w:rPr>
        <w:t>Negotiating for Resources and Results:</w:t>
      </w:r>
      <w:r w:rsidRPr="3C0B52EA">
        <w:rPr>
          <w:rFonts w:eastAsiaTheme="minorEastAsia"/>
          <w:color w:val="000000" w:themeColor="text1"/>
        </w:rPr>
        <w:t xml:space="preserve"> Hone your skills and learn how to gain commitment and collaborate with your key stakeholders</w:t>
      </w:r>
    </w:p>
    <w:p w14:paraId="00EFBC55" w14:textId="5DB501FC" w:rsidR="3C0B52EA" w:rsidRDefault="3C0B52EA" w:rsidP="3C0B52E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C0B52EA">
        <w:rPr>
          <w:rFonts w:eastAsiaTheme="minorEastAsia"/>
          <w:b/>
          <w:bCs/>
          <w:color w:val="000000" w:themeColor="text1"/>
        </w:rPr>
        <w:t>Leading Teams:</w:t>
      </w:r>
      <w:r w:rsidRPr="3C0B52EA">
        <w:rPr>
          <w:rFonts w:eastAsiaTheme="minorEastAsia"/>
          <w:color w:val="000000" w:themeColor="text1"/>
        </w:rPr>
        <w:t xml:space="preserve"> Learn how to lead, mentor, and manage your human capital resources to their highest potential</w:t>
      </w:r>
    </w:p>
    <w:p w14:paraId="0C045905" w14:textId="1DC0D220" w:rsidR="3C0B52EA" w:rsidRDefault="3C0B52EA" w:rsidP="3C0B52E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C0B52EA">
        <w:rPr>
          <w:rFonts w:eastAsiaTheme="minorEastAsia"/>
          <w:b/>
          <w:bCs/>
          <w:color w:val="000000" w:themeColor="text1"/>
        </w:rPr>
        <w:t>Leadership and Executive Presence:</w:t>
      </w:r>
      <w:r w:rsidRPr="3C0B52EA">
        <w:rPr>
          <w:rFonts w:eastAsiaTheme="minorEastAsia"/>
          <w:color w:val="000000" w:themeColor="text1"/>
        </w:rPr>
        <w:t xml:space="preserve"> Understand different leadership styles and create your own unique leadership brand</w:t>
      </w:r>
    </w:p>
    <w:p w14:paraId="18BFB7D5" w14:textId="49092CDC" w:rsidR="3C0B52EA" w:rsidRDefault="3C0B52EA" w:rsidP="3C0B52E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C0B52EA">
        <w:rPr>
          <w:rFonts w:eastAsiaTheme="minorEastAsia"/>
          <w:b/>
          <w:bCs/>
          <w:color w:val="000000" w:themeColor="text1"/>
        </w:rPr>
        <w:t>Influence and Political Savvy:</w:t>
      </w:r>
      <w:r w:rsidRPr="3C0B52EA">
        <w:rPr>
          <w:rFonts w:eastAsiaTheme="minorEastAsia"/>
          <w:color w:val="000000" w:themeColor="text1"/>
        </w:rPr>
        <w:t xml:space="preserve"> Identify a toolkit of influencing skills; leverage those most effective for you and your own organization</w:t>
      </w:r>
    </w:p>
    <w:p w14:paraId="4F26F1AE" w14:textId="12B18C87" w:rsidR="3C0B52EA" w:rsidRDefault="3C0B52EA" w:rsidP="3C0B52E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C0B52EA">
        <w:rPr>
          <w:rFonts w:eastAsiaTheme="minorEastAsia"/>
          <w:b/>
          <w:bCs/>
          <w:color w:val="000000" w:themeColor="text1"/>
        </w:rPr>
        <w:t>Decision Making and Risk Taking:</w:t>
      </w:r>
      <w:r w:rsidRPr="3C0B52EA">
        <w:rPr>
          <w:rFonts w:eastAsiaTheme="minorEastAsia"/>
          <w:color w:val="000000" w:themeColor="text1"/>
        </w:rPr>
        <w:t xml:space="preserve"> Learn how to assess and balance risk and reward and employ the critical components of solid decision-making skills</w:t>
      </w:r>
    </w:p>
    <w:p w14:paraId="108C9D49" w14:textId="6E2BEB42" w:rsidR="3C0B52EA" w:rsidRDefault="3C0B52EA" w:rsidP="3C0B52E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C0B52EA">
        <w:rPr>
          <w:rFonts w:eastAsiaTheme="minorEastAsia"/>
          <w:b/>
          <w:bCs/>
          <w:color w:val="000000" w:themeColor="text1"/>
        </w:rPr>
        <w:t>Creativity and Innovation:</w:t>
      </w:r>
      <w:r w:rsidRPr="3C0B52EA">
        <w:rPr>
          <w:rFonts w:eastAsiaTheme="minorEastAsia"/>
          <w:color w:val="000000" w:themeColor="text1"/>
        </w:rPr>
        <w:t xml:space="preserve"> Lean in to create an environment where novel thinking is encouraged and applied to business solutions</w:t>
      </w:r>
    </w:p>
    <w:p w14:paraId="080778A2" w14:textId="19EACF3D" w:rsidR="3C0B52EA" w:rsidRDefault="3C0B52EA" w:rsidP="3C0B52E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C0B52EA">
        <w:rPr>
          <w:rFonts w:eastAsiaTheme="minorEastAsia"/>
          <w:b/>
          <w:bCs/>
          <w:color w:val="000000" w:themeColor="text1"/>
        </w:rPr>
        <w:t>Leveraging Your Network:</w:t>
      </w:r>
      <w:r w:rsidRPr="3C0B52EA">
        <w:rPr>
          <w:rFonts w:eastAsiaTheme="minorEastAsia"/>
          <w:color w:val="000000" w:themeColor="text1"/>
        </w:rPr>
        <w:t xml:space="preserve"> Identify the activities that build useful networks rich in social capital and business advantage</w:t>
      </w:r>
    </w:p>
    <w:p w14:paraId="31F52154" w14:textId="402461A1" w:rsidR="3C0B52EA" w:rsidRDefault="3C0B52EA" w:rsidP="3C0B52EA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C0B52EA">
        <w:rPr>
          <w:rFonts w:eastAsiaTheme="minorEastAsia"/>
          <w:b/>
          <w:bCs/>
          <w:color w:val="000000" w:themeColor="text1"/>
        </w:rPr>
        <w:lastRenderedPageBreak/>
        <w:t>Values-Driven Leadership</w:t>
      </w:r>
      <w:r w:rsidRPr="3C0B52EA">
        <w:rPr>
          <w:rFonts w:eastAsiaTheme="minorEastAsia"/>
          <w:color w:val="000000" w:themeColor="text1"/>
        </w:rPr>
        <w:t>: Challenge, clarify, and embed your values in your leadership strategies. Integrate your learning into an ongoing plan for your leadership growth and development</w:t>
      </w:r>
    </w:p>
    <w:p w14:paraId="7032E1AC" w14:textId="79C9645F" w:rsidR="3C0B52EA" w:rsidRDefault="14CB019B" w:rsidP="14CB019B">
      <w:pPr>
        <w:rPr>
          <w:rFonts w:eastAsiaTheme="minorEastAsia"/>
          <w:b/>
          <w:bCs/>
          <w:color w:val="212121"/>
        </w:rPr>
      </w:pPr>
      <w:r w:rsidRPr="14CB019B">
        <w:rPr>
          <w:rFonts w:eastAsiaTheme="minorEastAsia"/>
          <w:b/>
          <w:bCs/>
          <w:color w:val="212121"/>
        </w:rPr>
        <w:t xml:space="preserve">Format: </w:t>
      </w:r>
    </w:p>
    <w:p w14:paraId="61771988" w14:textId="25F6DFDF" w:rsidR="3C0B52EA" w:rsidRDefault="14CB019B" w:rsidP="14CB019B">
      <w:pPr>
        <w:rPr>
          <w:rFonts w:eastAsiaTheme="minorEastAsia"/>
          <w:color w:val="212121"/>
        </w:rPr>
      </w:pPr>
      <w:r w:rsidRPr="14CB019B">
        <w:rPr>
          <w:rFonts w:eastAsiaTheme="minorEastAsia"/>
          <w:color w:val="212121"/>
        </w:rPr>
        <w:t xml:space="preserve">Participants are broken into smaller cohorts of 20-25 for each monthly session. Cohorts gather each month from 8:30am-12:30pm </w:t>
      </w:r>
      <w:r w:rsidR="00AD2EC1">
        <w:rPr>
          <w:rFonts w:eastAsiaTheme="minorEastAsia"/>
          <w:color w:val="212121"/>
        </w:rPr>
        <w:t>October</w:t>
      </w:r>
      <w:r w:rsidRPr="14CB019B">
        <w:rPr>
          <w:rFonts w:eastAsiaTheme="minorEastAsia"/>
          <w:color w:val="212121"/>
        </w:rPr>
        <w:t xml:space="preserve"> through August, to discuss Harvard Business Review Case Studies, experience the wisdom of local and regional thought leaders and the experience learning and connecting to impact their careers and organizations.</w:t>
      </w:r>
      <w:bookmarkStart w:id="0" w:name="_GoBack"/>
      <w:bookmarkEnd w:id="0"/>
    </w:p>
    <w:p w14:paraId="04BB6294" w14:textId="44C27204" w:rsidR="3C0B52EA" w:rsidRDefault="14CB019B" w:rsidP="14CB019B">
      <w:pPr>
        <w:rPr>
          <w:rFonts w:eastAsiaTheme="minorEastAsia"/>
          <w:color w:val="212121"/>
        </w:rPr>
      </w:pPr>
      <w:r w:rsidRPr="14CB019B">
        <w:rPr>
          <w:rFonts w:eastAsiaTheme="minorEastAsia"/>
          <w:b/>
          <w:bCs/>
          <w:color w:val="212121"/>
        </w:rPr>
        <w:t xml:space="preserve">Enrollment is open through </w:t>
      </w:r>
      <w:r w:rsidR="00F20EF4">
        <w:rPr>
          <w:rFonts w:eastAsiaTheme="minorEastAsia"/>
          <w:b/>
          <w:bCs/>
          <w:color w:val="212121"/>
        </w:rPr>
        <w:t>September 6</w:t>
      </w:r>
      <w:r w:rsidR="00F20EF4" w:rsidRPr="00F20EF4">
        <w:rPr>
          <w:rFonts w:eastAsiaTheme="minorEastAsia"/>
          <w:b/>
          <w:bCs/>
          <w:color w:val="212121"/>
          <w:vertAlign w:val="superscript"/>
        </w:rPr>
        <w:t>th</w:t>
      </w:r>
      <w:r w:rsidR="00F20EF4">
        <w:rPr>
          <w:rFonts w:eastAsiaTheme="minorEastAsia"/>
          <w:b/>
          <w:bCs/>
          <w:color w:val="212121"/>
        </w:rPr>
        <w:t>, 2019</w:t>
      </w:r>
      <w:r w:rsidRPr="14CB019B">
        <w:rPr>
          <w:rFonts w:eastAsiaTheme="minorEastAsia"/>
          <w:color w:val="212121"/>
        </w:rPr>
        <w:t xml:space="preserve">, and I want to be sure that women in your organization have an opportunity to participate. We would love to have </w:t>
      </w:r>
      <w:r w:rsidRPr="14CB019B">
        <w:rPr>
          <w:rFonts w:eastAsiaTheme="minorEastAsia"/>
          <w:color w:val="FF0000"/>
        </w:rPr>
        <w:t>&lt;ORGANIZATION NAME&gt;</w:t>
      </w:r>
      <w:r w:rsidRPr="14CB019B">
        <w:rPr>
          <w:rFonts w:eastAsiaTheme="minorEastAsia"/>
          <w:color w:val="212121"/>
        </w:rPr>
        <w:t xml:space="preserve"> participate in the upcoming session. The investment in each woman is $6,000, and the skills they </w:t>
      </w:r>
      <w:proofErr w:type="gramStart"/>
      <w:r w:rsidRPr="14CB019B">
        <w:rPr>
          <w:rFonts w:eastAsiaTheme="minorEastAsia"/>
          <w:color w:val="212121"/>
        </w:rPr>
        <w:t>learn</w:t>
      </w:r>
      <w:proofErr w:type="gramEnd"/>
      <w:r w:rsidRPr="14CB019B">
        <w:rPr>
          <w:rFonts w:eastAsiaTheme="minorEastAsia"/>
          <w:color w:val="212121"/>
        </w:rPr>
        <w:t xml:space="preserve"> and practice will advance the success of their teams and the overall organization. </w:t>
      </w:r>
    </w:p>
    <w:p w14:paraId="01F20FAF" w14:textId="3707FA59" w:rsidR="3C0B52EA" w:rsidRDefault="14CB019B" w:rsidP="14CB019B">
      <w:pPr>
        <w:rPr>
          <w:rFonts w:eastAsiaTheme="minorEastAsia"/>
        </w:rPr>
      </w:pPr>
      <w:r w:rsidRPr="14CB019B">
        <w:rPr>
          <w:rFonts w:eastAsiaTheme="minorEastAsia"/>
          <w:color w:val="212121"/>
        </w:rPr>
        <w:t xml:space="preserve">Learn more about Emerging Leaders and its facilitators: </w:t>
      </w:r>
      <w:hyperlink r:id="rId6">
        <w:r w:rsidRPr="14CB019B">
          <w:rPr>
            <w:rStyle w:val="Hyperlink"/>
            <w:rFonts w:eastAsiaTheme="minorEastAsia"/>
          </w:rPr>
          <w:t>https://centralexchange.org/emerging-leaders/</w:t>
        </w:r>
      </w:hyperlink>
    </w:p>
    <w:p w14:paraId="5787E8B9" w14:textId="25FC6DAA" w:rsidR="14CB019B" w:rsidRDefault="14CB019B" w:rsidP="14CB019B">
      <w:pPr>
        <w:rPr>
          <w:rFonts w:eastAsiaTheme="minorEastAsia"/>
          <w:color w:val="212121"/>
        </w:rPr>
      </w:pPr>
      <w:r w:rsidRPr="14CB019B">
        <w:rPr>
          <w:rFonts w:eastAsiaTheme="minorEastAsia"/>
          <w:color w:val="212121"/>
        </w:rPr>
        <w:t xml:space="preserve">Thank you for your consideration. If you have any questions, please don’t hesitate to reach out. </w:t>
      </w:r>
    </w:p>
    <w:p w14:paraId="41262DE6" w14:textId="0412CD2B" w:rsidR="3C0B52EA" w:rsidRDefault="3C0B52EA" w:rsidP="3C0B52EA">
      <w:pPr>
        <w:rPr>
          <w:rFonts w:eastAsiaTheme="minorEastAsia"/>
          <w:color w:val="212121"/>
        </w:rPr>
      </w:pPr>
      <w:r w:rsidRPr="3C0B52EA">
        <w:rPr>
          <w:rFonts w:eastAsiaTheme="minorEastAsia"/>
          <w:color w:val="212121"/>
        </w:rPr>
        <w:t xml:space="preserve">Sincerely, </w:t>
      </w:r>
    </w:p>
    <w:p w14:paraId="577029A0" w14:textId="7E01FE39" w:rsidR="3C0B52EA" w:rsidRDefault="3C0B52EA" w:rsidP="14CB019B">
      <w:pPr>
        <w:rPr>
          <w:rFonts w:eastAsiaTheme="minorEastAsia"/>
          <w:color w:val="212121"/>
        </w:rPr>
      </w:pPr>
      <w:r>
        <w:rPr>
          <w:noProof/>
        </w:rPr>
        <w:drawing>
          <wp:inline distT="0" distB="0" distL="0" distR="0" wp14:anchorId="51532CFD" wp14:editId="73BFDE66">
            <wp:extent cx="2471352" cy="576649"/>
            <wp:effectExtent l="0" t="0" r="0" b="0"/>
            <wp:docPr id="25300978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352" cy="57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E1950" w14:textId="72156BF6" w:rsidR="3C0B52EA" w:rsidRDefault="3C0B52EA" w:rsidP="3C0B52EA">
      <w:pPr>
        <w:rPr>
          <w:rFonts w:eastAsiaTheme="minorEastAsia"/>
          <w:color w:val="212121"/>
        </w:rPr>
      </w:pPr>
      <w:r w:rsidRPr="3C0B52EA">
        <w:rPr>
          <w:rFonts w:eastAsiaTheme="minorEastAsia"/>
          <w:b/>
          <w:bCs/>
          <w:color w:val="212121"/>
        </w:rPr>
        <w:t>Courtney Thomas</w:t>
      </w:r>
      <w:r>
        <w:br/>
      </w:r>
      <w:r w:rsidRPr="3C0B52EA">
        <w:rPr>
          <w:rFonts w:eastAsiaTheme="minorEastAsia"/>
          <w:color w:val="212121"/>
        </w:rPr>
        <w:t xml:space="preserve">Central Exchange President + CEO </w:t>
      </w:r>
      <w:r>
        <w:br/>
      </w:r>
      <w:r w:rsidRPr="3C0B52EA">
        <w:rPr>
          <w:rFonts w:eastAsiaTheme="minorEastAsia"/>
          <w:color w:val="212121"/>
        </w:rPr>
        <w:t>courtney@centralexchange.org</w:t>
      </w:r>
    </w:p>
    <w:p w14:paraId="4F154FF8" w14:textId="7E0F37E9" w:rsidR="3C0B52EA" w:rsidRDefault="3C0B52EA" w:rsidP="3C0B52EA">
      <w:pPr>
        <w:rPr>
          <w:rFonts w:eastAsiaTheme="minorEastAsia"/>
        </w:rPr>
      </w:pPr>
    </w:p>
    <w:sectPr w:rsidR="3C0B5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EB1"/>
    <w:multiLevelType w:val="hybridMultilevel"/>
    <w:tmpl w:val="AAEE0ECA"/>
    <w:lvl w:ilvl="0" w:tplc="D2104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94A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68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D6A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4B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6C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181A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AF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482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06EAF"/>
    <w:multiLevelType w:val="hybridMultilevel"/>
    <w:tmpl w:val="16B6AB7C"/>
    <w:lvl w:ilvl="0" w:tplc="6004E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0A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1C1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CA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EA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6D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82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A29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CF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zsDS3NDYwMLcwMDBR0lEKTi0uzszPAykwrgUAPOBzSiwAAAA="/>
  </w:docVars>
  <w:rsids>
    <w:rsidRoot w:val="4C7965AD"/>
    <w:rsid w:val="00AD2EC1"/>
    <w:rsid w:val="00D4147E"/>
    <w:rsid w:val="00F20EF4"/>
    <w:rsid w:val="14CB019B"/>
    <w:rsid w:val="3C0B52EA"/>
    <w:rsid w:val="4C7965AD"/>
    <w:rsid w:val="70018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832C"/>
  <w15:chartTrackingRefBased/>
  <w15:docId w15:val="{10940584-B759-41AB-AE41-C3D5702A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ralexchange.org/emerging-leade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Voyles</dc:creator>
  <cp:keywords/>
  <dc:description/>
  <cp:lastModifiedBy>Klassie Alcine</cp:lastModifiedBy>
  <cp:revision>4</cp:revision>
  <dcterms:created xsi:type="dcterms:W3CDTF">2019-04-24T20:39:00Z</dcterms:created>
  <dcterms:modified xsi:type="dcterms:W3CDTF">2019-04-29T18:49:00Z</dcterms:modified>
</cp:coreProperties>
</file>